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13" w:rsidRDefault="008A5413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  <w:lang w:val="en-US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2975810" cy="2975810"/>
            <wp:effectExtent l="0" t="0" r="0" b="0"/>
            <wp:docPr id="1" name="Εικόνα 1" descr="http://www.iu.qs.com/wp-content/uploads/2020/03/2020-Law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.qs.com/wp-content/uploads/2020/03/2020-Law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9" cy="297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73" w:rsidRDefault="008A5413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Παραμένει σ</w:t>
      </w:r>
      <w:r w:rsidR="00F30CC2" w:rsidRPr="00197173">
        <w:rPr>
          <w:rFonts w:ascii="Cambria" w:hAnsi="Cambria"/>
          <w:b/>
          <w:sz w:val="26"/>
          <w:szCs w:val="26"/>
        </w:rPr>
        <w:t xml:space="preserve">τις 300 καλύτερες Νομικές Σχολές στον Κόσμο, η Νομική Σχολή Αθήνας σύμφωνα με την κατάταξη της </w:t>
      </w:r>
    </w:p>
    <w:p w:rsidR="00F30CC2" w:rsidRPr="006A2BBF" w:rsidRDefault="00F30CC2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  <w:lang w:val="en-US"/>
        </w:rPr>
      </w:pPr>
      <w:r w:rsidRPr="00197173">
        <w:rPr>
          <w:rFonts w:ascii="Cambria" w:hAnsi="Cambria"/>
          <w:b/>
          <w:sz w:val="26"/>
          <w:szCs w:val="26"/>
          <w:lang w:val="en-US"/>
        </w:rPr>
        <w:t>QS</w:t>
      </w:r>
      <w:r w:rsidRPr="006A2BBF">
        <w:rPr>
          <w:rFonts w:ascii="Cambria" w:hAnsi="Cambria"/>
          <w:b/>
          <w:sz w:val="26"/>
          <w:szCs w:val="26"/>
          <w:lang w:val="en-US"/>
        </w:rPr>
        <w:t xml:space="preserve"> (Quacquarelli</w:t>
      </w:r>
      <w:r w:rsidR="00940C9F" w:rsidRPr="006A2BBF">
        <w:rPr>
          <w:rFonts w:ascii="Cambria" w:hAnsi="Cambria"/>
          <w:b/>
          <w:sz w:val="26"/>
          <w:szCs w:val="26"/>
          <w:lang w:val="en-US"/>
        </w:rPr>
        <w:t xml:space="preserve"> </w:t>
      </w:r>
      <w:r w:rsidRPr="006A2BBF">
        <w:rPr>
          <w:rFonts w:ascii="Cambria" w:hAnsi="Cambria"/>
          <w:b/>
          <w:sz w:val="26"/>
          <w:szCs w:val="26"/>
          <w:lang w:val="en-US"/>
        </w:rPr>
        <w:t>Symonds)</w:t>
      </w:r>
    </w:p>
    <w:p w:rsidR="00940C9F" w:rsidRPr="006A2BBF" w:rsidRDefault="00D62177" w:rsidP="00197173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Cambria" w:hAnsi="Cambria"/>
          <w:b/>
          <w:sz w:val="26"/>
          <w:szCs w:val="26"/>
          <w:lang w:val="en-US"/>
        </w:rPr>
      </w:pPr>
      <w:hyperlink r:id="rId8" w:history="1">
        <w:r w:rsidR="00940C9F" w:rsidRPr="006A2BBF">
          <w:rPr>
            <w:rStyle w:val="-"/>
            <w:lang w:val="en-US"/>
          </w:rPr>
          <w:t>https://www.topuniversities.com/university-rankings/university-subject-rankings/2020/law-legal-studies</w:t>
        </w:r>
      </w:hyperlink>
    </w:p>
    <w:p w:rsidR="00D30B2F" w:rsidRPr="00244174" w:rsidRDefault="00D30B2F" w:rsidP="009C0EEE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Για </w:t>
      </w:r>
      <w:r w:rsidR="008A5413">
        <w:rPr>
          <w:rFonts w:ascii="Cambria" w:hAnsi="Cambria"/>
        </w:rPr>
        <w:t>τέταρτη</w:t>
      </w:r>
      <w:r>
        <w:rPr>
          <w:rFonts w:ascii="Cambria" w:hAnsi="Cambria"/>
        </w:rPr>
        <w:t xml:space="preserve"> συνεχόμενη χρονιά η </w:t>
      </w:r>
      <w:r w:rsidRPr="00940C9F">
        <w:rPr>
          <w:rFonts w:ascii="Cambria" w:hAnsi="Cambria"/>
          <w:b/>
        </w:rPr>
        <w:t xml:space="preserve">Νομική Σχολή του Εθνικού και Καποδιστριακού Πανεπιστημίου Αθηνών </w:t>
      </w:r>
      <w:r>
        <w:rPr>
          <w:rFonts w:ascii="Cambria" w:hAnsi="Cambria"/>
        </w:rPr>
        <w:t xml:space="preserve">βρίσκεται </w:t>
      </w:r>
      <w:r w:rsidRPr="00940C9F">
        <w:rPr>
          <w:rFonts w:ascii="Cambria" w:hAnsi="Cambria"/>
          <w:b/>
        </w:rPr>
        <w:t>στις 300 καλύτερες Νομικές Σχολές του Κόσμου</w:t>
      </w:r>
      <w:r>
        <w:rPr>
          <w:rFonts w:ascii="Cambria" w:hAnsi="Cambria"/>
        </w:rPr>
        <w:t xml:space="preserve">. Πιο συγκεκριμένα σύμφωνα με την παγκόσμια κατάταξη </w:t>
      </w:r>
      <w:r w:rsidR="007F57E3">
        <w:rPr>
          <w:rFonts w:ascii="Cambria" w:hAnsi="Cambria"/>
        </w:rPr>
        <w:t>Πανεπιστημίων ανά θεματική περιοχή και επιστημονικό αντικείμενο</w:t>
      </w:r>
      <w:r>
        <w:rPr>
          <w:rFonts w:ascii="Cambria" w:hAnsi="Cambria"/>
        </w:rPr>
        <w:t xml:space="preserve"> του έγκυρου οργανισμού </w:t>
      </w:r>
      <w:r w:rsidRPr="00F30CC2">
        <w:rPr>
          <w:rFonts w:ascii="Cambria" w:hAnsi="Cambria"/>
          <w:b/>
          <w:lang w:val="en-US"/>
        </w:rPr>
        <w:t>QS</w:t>
      </w:r>
      <w:r w:rsidRPr="00F30CC2">
        <w:rPr>
          <w:rFonts w:ascii="Cambria" w:hAnsi="Cambria"/>
          <w:b/>
        </w:rPr>
        <w:t xml:space="preserve"> (</w:t>
      </w:r>
      <w:proofErr w:type="spellStart"/>
      <w:r w:rsidRPr="00F30CC2">
        <w:rPr>
          <w:rFonts w:ascii="Cambria" w:hAnsi="Cambria"/>
          <w:b/>
        </w:rPr>
        <w:t>Quacquarelli</w:t>
      </w:r>
      <w:proofErr w:type="spellEnd"/>
      <w:r w:rsidR="008A5413">
        <w:rPr>
          <w:rFonts w:ascii="Cambria" w:hAnsi="Cambria"/>
          <w:b/>
        </w:rPr>
        <w:t xml:space="preserve"> </w:t>
      </w:r>
      <w:proofErr w:type="spellStart"/>
      <w:r w:rsidRPr="00F30CC2">
        <w:rPr>
          <w:rFonts w:ascii="Cambria" w:hAnsi="Cambria"/>
          <w:b/>
        </w:rPr>
        <w:t>Symonds</w:t>
      </w:r>
      <w:proofErr w:type="spellEnd"/>
      <w:r w:rsidRPr="00F30CC2">
        <w:rPr>
          <w:rFonts w:ascii="Cambria" w:hAnsi="Cambria"/>
          <w:b/>
        </w:rPr>
        <w:t>)</w:t>
      </w:r>
      <w:r w:rsidR="007F57E3">
        <w:rPr>
          <w:rFonts w:ascii="Cambria" w:hAnsi="Cambria"/>
          <w:b/>
        </w:rPr>
        <w:t xml:space="preserve">, </w:t>
      </w:r>
      <w:r w:rsidR="007F57E3" w:rsidRPr="007F57E3">
        <w:rPr>
          <w:rFonts w:ascii="Cambria" w:hAnsi="Cambria"/>
        </w:rPr>
        <w:t>η</w:t>
      </w:r>
      <w:r w:rsidR="008A5413">
        <w:rPr>
          <w:rFonts w:ascii="Cambria" w:hAnsi="Cambria"/>
        </w:rPr>
        <w:t xml:space="preserve"> </w:t>
      </w:r>
      <w:r w:rsidR="007F57E3">
        <w:rPr>
          <w:rFonts w:ascii="Cambria" w:hAnsi="Cambria"/>
        </w:rPr>
        <w:t>οποία</w:t>
      </w:r>
      <w:r>
        <w:rPr>
          <w:rFonts w:ascii="Cambria" w:hAnsi="Cambria"/>
        </w:rPr>
        <w:t xml:space="preserve"> δημοσιεύθηκε πριν από μερικές ημέρες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η </w:t>
      </w:r>
      <w:r w:rsidRPr="00D30B2F">
        <w:rPr>
          <w:rFonts w:ascii="Cambria" w:hAnsi="Cambria"/>
          <w:b/>
        </w:rPr>
        <w:t>Νομική Σχολή του Πανεπιστημίου</w:t>
      </w:r>
      <w:r>
        <w:rPr>
          <w:rFonts w:ascii="Cambria" w:hAnsi="Cambria"/>
        </w:rPr>
        <w:t xml:space="preserve"> βρίσκεται στις θέσεις </w:t>
      </w:r>
      <w:r w:rsidRPr="00D30B2F">
        <w:rPr>
          <w:rFonts w:ascii="Cambria" w:hAnsi="Cambria"/>
          <w:b/>
        </w:rPr>
        <w:t>251-300</w:t>
      </w:r>
      <w:r w:rsidR="008A5413" w:rsidRPr="008A5413">
        <w:rPr>
          <w:rFonts w:ascii="Cambria" w:hAnsi="Cambria"/>
          <w:b/>
        </w:rPr>
        <w:t xml:space="preserve"> </w:t>
      </w:r>
      <w:r w:rsidR="007F57E3">
        <w:rPr>
          <w:rFonts w:ascii="Cambria" w:hAnsi="Cambria"/>
          <w:b/>
        </w:rPr>
        <w:t xml:space="preserve">παγκοσμίως. </w:t>
      </w:r>
      <w:r w:rsidR="00244174">
        <w:rPr>
          <w:rFonts w:ascii="Cambria" w:hAnsi="Cambria"/>
        </w:rPr>
        <w:t>Παράλληλα βρίσκεται στην 1</w:t>
      </w:r>
      <w:r w:rsidR="00244174" w:rsidRPr="00244174">
        <w:rPr>
          <w:rFonts w:ascii="Cambria" w:hAnsi="Cambria"/>
          <w:vertAlign w:val="superscript"/>
        </w:rPr>
        <w:t>η</w:t>
      </w:r>
      <w:r w:rsidR="00244174">
        <w:rPr>
          <w:rFonts w:ascii="Cambria" w:hAnsi="Cambria"/>
        </w:rPr>
        <w:t xml:space="preserve"> θέση μεταξύ των αντίστοιχων Τμημάτων και Σχολών στην Ελλάδα</w:t>
      </w:r>
    </w:p>
    <w:p w:rsidR="007F57E3" w:rsidRDefault="007F57E3" w:rsidP="008A5413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655D21">
        <w:rPr>
          <w:rFonts w:ascii="Cambria" w:hAnsi="Cambria"/>
          <w:color w:val="000000"/>
          <w:sz w:val="24"/>
          <w:szCs w:val="24"/>
        </w:rPr>
        <w:t>Οι κατατάξεις τ</w:t>
      </w:r>
      <w:r>
        <w:rPr>
          <w:rFonts w:ascii="Cambria" w:hAnsi="Cambria"/>
          <w:color w:val="000000"/>
          <w:sz w:val="24"/>
          <w:szCs w:val="24"/>
        </w:rPr>
        <w:t>ης</w:t>
      </w:r>
      <w:r w:rsidRPr="00655D21">
        <w:rPr>
          <w:rFonts w:ascii="Cambria" w:hAnsi="Cambria"/>
          <w:color w:val="000000"/>
          <w:sz w:val="24"/>
          <w:szCs w:val="24"/>
        </w:rPr>
        <w:t xml:space="preserve"> QS χρησιμοποιούν δεδομένα ειδικών γνωμοδοτών (</w:t>
      </w:r>
      <w:proofErr w:type="spellStart"/>
      <w:r w:rsidRPr="00655D21">
        <w:rPr>
          <w:rFonts w:ascii="Cambria" w:hAnsi="Cambria"/>
          <w:color w:val="000000"/>
          <w:sz w:val="24"/>
          <w:szCs w:val="24"/>
        </w:rPr>
        <w:t>peer</w:t>
      </w:r>
      <w:proofErr w:type="spellEnd"/>
      <w:r w:rsidR="008A5413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55D21">
        <w:rPr>
          <w:rFonts w:ascii="Cambria" w:hAnsi="Cambria"/>
          <w:color w:val="000000"/>
          <w:sz w:val="24"/>
          <w:szCs w:val="24"/>
        </w:rPr>
        <w:t>review</w:t>
      </w:r>
      <w:proofErr w:type="spellEnd"/>
      <w:r>
        <w:rPr>
          <w:rFonts w:ascii="Cambria" w:hAnsi="Cambria"/>
          <w:color w:val="000000"/>
          <w:sz w:val="24"/>
          <w:szCs w:val="24"/>
          <w:lang w:val="en-US"/>
        </w:rPr>
        <w:t>s</w:t>
      </w:r>
      <w:r w:rsidRPr="00655D21">
        <w:rPr>
          <w:rFonts w:ascii="Cambria" w:hAnsi="Cambria"/>
          <w:color w:val="000000"/>
          <w:sz w:val="24"/>
          <w:szCs w:val="24"/>
        </w:rPr>
        <w:t>) πο</w:t>
      </w:r>
      <w:r>
        <w:rPr>
          <w:rFonts w:ascii="Cambria" w:hAnsi="Cambria"/>
          <w:color w:val="000000"/>
          <w:sz w:val="24"/>
          <w:szCs w:val="24"/>
        </w:rPr>
        <w:t>υ συλλέγονται από μεγάλο αριθμό</w:t>
      </w:r>
      <w:r w:rsidR="008A5413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ερευνητών</w:t>
      </w:r>
      <w:r w:rsidRPr="00655D21">
        <w:rPr>
          <w:rFonts w:ascii="Cambria" w:hAnsi="Cambria"/>
          <w:color w:val="000000"/>
          <w:sz w:val="24"/>
          <w:szCs w:val="24"/>
        </w:rPr>
        <w:t xml:space="preserve">, ακαδημαϊκών και εργοδοτών. </w:t>
      </w:r>
      <w:r>
        <w:rPr>
          <w:rFonts w:ascii="Cambria" w:hAnsi="Cambria"/>
          <w:color w:val="000000"/>
          <w:sz w:val="24"/>
          <w:szCs w:val="24"/>
        </w:rPr>
        <w:t xml:space="preserve">Επίσης, </w:t>
      </w:r>
      <w:r w:rsidRPr="00655D21">
        <w:rPr>
          <w:rFonts w:ascii="Cambria" w:hAnsi="Cambria"/>
          <w:color w:val="000000"/>
          <w:sz w:val="24"/>
          <w:szCs w:val="24"/>
        </w:rPr>
        <w:t xml:space="preserve">λαμβάνουν υπόψη τον αριθμό  τον αριθμό </w:t>
      </w:r>
      <w:proofErr w:type="spellStart"/>
      <w:r w:rsidR="00244174">
        <w:rPr>
          <w:rFonts w:ascii="Cambria" w:hAnsi="Cambria"/>
          <w:color w:val="000000"/>
          <w:sz w:val="24"/>
          <w:szCs w:val="24"/>
        </w:rPr>
        <w:t>ετεροαναφορών</w:t>
      </w:r>
      <w:proofErr w:type="spellEnd"/>
      <w:r w:rsidR="008A5413">
        <w:rPr>
          <w:rFonts w:ascii="Cambria" w:hAnsi="Cambria"/>
          <w:color w:val="000000"/>
          <w:sz w:val="24"/>
          <w:szCs w:val="24"/>
        </w:rPr>
        <w:t xml:space="preserve"> </w:t>
      </w:r>
      <w:r w:rsidR="00244174">
        <w:rPr>
          <w:rFonts w:ascii="Cambria" w:hAnsi="Cambria"/>
          <w:color w:val="000000"/>
          <w:sz w:val="24"/>
          <w:szCs w:val="24"/>
        </w:rPr>
        <w:t xml:space="preserve">και την </w:t>
      </w:r>
      <w:proofErr w:type="spellStart"/>
      <w:r w:rsidR="00244174">
        <w:rPr>
          <w:rFonts w:ascii="Cambria" w:hAnsi="Cambria"/>
          <w:color w:val="000000"/>
          <w:sz w:val="24"/>
          <w:szCs w:val="24"/>
        </w:rPr>
        <w:t>επιδραστικότητα</w:t>
      </w:r>
      <w:proofErr w:type="spellEnd"/>
      <w:r w:rsidR="00244174">
        <w:rPr>
          <w:rFonts w:ascii="Cambria" w:hAnsi="Cambria"/>
          <w:color w:val="000000"/>
          <w:sz w:val="24"/>
          <w:szCs w:val="24"/>
        </w:rPr>
        <w:t xml:space="preserve"> του δημοσιευμένου έργου των καθηγητών και ερευνητών κάθε Σχολής ή Τμήματος. </w:t>
      </w:r>
      <w:r w:rsidR="00244174">
        <w:rPr>
          <w:rFonts w:ascii="Cambria" w:hAnsi="Cambria"/>
          <w:sz w:val="24"/>
          <w:szCs w:val="24"/>
        </w:rPr>
        <w:t xml:space="preserve">Πιο συγκεκριμένα βαθμολογούνται τέσσερα κριτήρια – δείκτες </w:t>
      </w:r>
      <w:r w:rsidRPr="00655D21">
        <w:rPr>
          <w:rFonts w:ascii="Cambria" w:hAnsi="Cambria"/>
          <w:sz w:val="24"/>
          <w:szCs w:val="24"/>
        </w:rPr>
        <w:t>με διαφορετική βαρύτητα</w:t>
      </w:r>
      <w:r w:rsidR="00244174">
        <w:rPr>
          <w:rFonts w:ascii="Cambria" w:hAnsi="Cambria"/>
          <w:sz w:val="24"/>
          <w:szCs w:val="24"/>
        </w:rPr>
        <w:t xml:space="preserve"> το καθένα</w:t>
      </w:r>
      <w:r w:rsidRPr="00655D21">
        <w:rPr>
          <w:rFonts w:ascii="Cambria" w:hAnsi="Cambria"/>
          <w:sz w:val="24"/>
          <w:szCs w:val="24"/>
        </w:rPr>
        <w:t>.</w:t>
      </w:r>
      <w:r w:rsidR="00244174">
        <w:rPr>
          <w:rFonts w:ascii="Cambria" w:hAnsi="Cambria"/>
          <w:sz w:val="24"/>
          <w:szCs w:val="24"/>
        </w:rPr>
        <w:t xml:space="preserve"> Τα κριτήρια αυτά είναι τα εξής:</w:t>
      </w:r>
    </w:p>
    <w:p w:rsidR="00244174" w:rsidRPr="000C2962" w:rsidRDefault="00244174" w:rsidP="009C0E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0C2962">
        <w:rPr>
          <w:rFonts w:ascii="Cambria" w:hAnsi="Cambria"/>
          <w:b/>
          <w:sz w:val="24"/>
          <w:szCs w:val="24"/>
        </w:rPr>
        <w:lastRenderedPageBreak/>
        <w:t>Ακαδημαϊκή Φήμη</w:t>
      </w:r>
      <w:r w:rsidRPr="000C2962">
        <w:rPr>
          <w:rFonts w:ascii="Cambria" w:hAnsi="Cambria"/>
          <w:sz w:val="24"/>
          <w:szCs w:val="24"/>
        </w:rPr>
        <w:t xml:space="preserve">. Η μέτρηση γίνεται μέσω έρευνας ερωτηματολογίου. Στο ερωτηματολόγιο χρησιμοποιούνται ακαδημαϊκοί διαφόρων ειδικοτήτων και </w:t>
      </w:r>
      <w:proofErr w:type="spellStart"/>
      <w:r w:rsidRPr="000C2962">
        <w:rPr>
          <w:rFonts w:ascii="Cambria" w:hAnsi="Cambria"/>
          <w:sz w:val="24"/>
          <w:szCs w:val="24"/>
        </w:rPr>
        <w:t>ερωτούνται</w:t>
      </w:r>
      <w:proofErr w:type="spellEnd"/>
      <w:r w:rsidRPr="000C2962">
        <w:rPr>
          <w:rFonts w:ascii="Cambria" w:hAnsi="Cambria"/>
          <w:sz w:val="24"/>
          <w:szCs w:val="24"/>
        </w:rPr>
        <w:t xml:space="preserve"> για τα κατά τη γνώμη τους 30 καλύτερα πανεπιστήμια</w:t>
      </w:r>
      <w:r w:rsidR="006C7563" w:rsidRPr="000C2962">
        <w:rPr>
          <w:rFonts w:ascii="Cambria" w:hAnsi="Cambria"/>
          <w:sz w:val="24"/>
          <w:szCs w:val="24"/>
        </w:rPr>
        <w:t xml:space="preserve"> στους τομείς εμπειρογνωμοσύνης τους</w:t>
      </w:r>
      <w:r w:rsidRPr="000C2962">
        <w:rPr>
          <w:rFonts w:ascii="Cambria" w:hAnsi="Cambria"/>
          <w:sz w:val="24"/>
          <w:szCs w:val="24"/>
        </w:rPr>
        <w:t>, χωρίς να μπορούν να επιλέξουν το δικό τους. Μεταξύ 201</w:t>
      </w:r>
      <w:r w:rsidR="008A5413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 xml:space="preserve"> και 201</w:t>
      </w:r>
      <w:r w:rsidR="008A5413">
        <w:rPr>
          <w:rFonts w:ascii="Cambria" w:hAnsi="Cambria"/>
          <w:sz w:val="24"/>
          <w:szCs w:val="24"/>
        </w:rPr>
        <w:t>9</w:t>
      </w:r>
      <w:r w:rsidRPr="000C2962">
        <w:rPr>
          <w:rFonts w:ascii="Cambria" w:hAnsi="Cambria"/>
          <w:sz w:val="24"/>
          <w:szCs w:val="24"/>
        </w:rPr>
        <w:t xml:space="preserve"> η QS συγκέντρωσε πάνω </w:t>
      </w:r>
      <w:r w:rsidR="00A67F23">
        <w:rPr>
          <w:rFonts w:ascii="Cambria" w:hAnsi="Cambria"/>
          <w:sz w:val="24"/>
          <w:szCs w:val="24"/>
        </w:rPr>
        <w:t xml:space="preserve">από </w:t>
      </w:r>
      <w:r w:rsidR="008A5413">
        <w:rPr>
          <w:rFonts w:ascii="Cambria" w:hAnsi="Cambria"/>
          <w:sz w:val="24"/>
          <w:szCs w:val="24"/>
        </w:rPr>
        <w:t>95</w:t>
      </w:r>
      <w:r w:rsidR="00A67F23">
        <w:rPr>
          <w:rFonts w:ascii="Cambria" w:hAnsi="Cambria"/>
          <w:sz w:val="24"/>
          <w:szCs w:val="24"/>
        </w:rPr>
        <w:t xml:space="preserve">.000 </w:t>
      </w:r>
      <w:r w:rsidRPr="000C2962">
        <w:rPr>
          <w:rFonts w:ascii="Cambria" w:hAnsi="Cambria"/>
          <w:sz w:val="24"/>
          <w:szCs w:val="24"/>
        </w:rPr>
        <w:t xml:space="preserve">ερωτηματολόγια ακαδημαϊκών  από όλο τον </w:t>
      </w:r>
      <w:proofErr w:type="spellStart"/>
      <w:r w:rsidRPr="000C2962">
        <w:rPr>
          <w:rFonts w:ascii="Cambria" w:hAnsi="Cambria"/>
          <w:sz w:val="24"/>
          <w:szCs w:val="24"/>
        </w:rPr>
        <w:t>κόσμο.Το</w:t>
      </w:r>
      <w:proofErr w:type="spellEnd"/>
      <w:r w:rsidRPr="000C2962">
        <w:rPr>
          <w:rFonts w:ascii="Cambria" w:hAnsi="Cambria"/>
          <w:sz w:val="24"/>
          <w:szCs w:val="24"/>
        </w:rPr>
        <w:t xml:space="preserve"> βάρος </w:t>
      </w:r>
      <w:r w:rsidR="000C2962">
        <w:rPr>
          <w:rFonts w:ascii="Cambria" w:hAnsi="Cambria"/>
          <w:sz w:val="24"/>
          <w:szCs w:val="24"/>
        </w:rPr>
        <w:t xml:space="preserve">του </w:t>
      </w:r>
      <w:r w:rsidR="006C7563" w:rsidRPr="000C2962">
        <w:rPr>
          <w:rFonts w:ascii="Cambria" w:hAnsi="Cambria"/>
          <w:sz w:val="24"/>
          <w:szCs w:val="24"/>
        </w:rPr>
        <w:t xml:space="preserve">συγκεκριμένου </w:t>
      </w:r>
      <w:r w:rsidR="000C2962">
        <w:rPr>
          <w:rFonts w:ascii="Cambria" w:hAnsi="Cambria"/>
          <w:sz w:val="24"/>
          <w:szCs w:val="24"/>
        </w:rPr>
        <w:t xml:space="preserve">αυτού </w:t>
      </w:r>
      <w:r w:rsidRPr="000C2962">
        <w:rPr>
          <w:rFonts w:ascii="Cambria" w:hAnsi="Cambria"/>
          <w:sz w:val="24"/>
          <w:szCs w:val="24"/>
        </w:rPr>
        <w:t xml:space="preserve">κριτηρίου στη συνολική βαθμολογία </w:t>
      </w:r>
      <w:r w:rsidR="000C2962" w:rsidRPr="000C2962">
        <w:rPr>
          <w:rFonts w:ascii="Cambria" w:hAnsi="Cambria"/>
          <w:sz w:val="24"/>
          <w:szCs w:val="24"/>
        </w:rPr>
        <w:t xml:space="preserve">των νομικών σχολών </w:t>
      </w:r>
      <w:r w:rsidR="006C7563" w:rsidRPr="000C2962">
        <w:rPr>
          <w:rFonts w:ascii="Cambria" w:hAnsi="Cambria"/>
          <w:sz w:val="24"/>
          <w:szCs w:val="24"/>
        </w:rPr>
        <w:t xml:space="preserve"> για το 20</w:t>
      </w:r>
      <w:r w:rsidR="008A5413">
        <w:rPr>
          <w:rFonts w:ascii="Cambria" w:hAnsi="Cambria"/>
          <w:sz w:val="24"/>
          <w:szCs w:val="24"/>
        </w:rPr>
        <w:t xml:space="preserve">20 </w:t>
      </w:r>
      <w:r w:rsidR="006C7563" w:rsidRPr="000C2962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</w:rPr>
        <w:t xml:space="preserve">είναι  </w:t>
      </w:r>
      <w:r w:rsidR="006C7563" w:rsidRPr="000C2962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>0%</w:t>
      </w:r>
      <w:r w:rsidR="000C2962">
        <w:rPr>
          <w:rFonts w:ascii="Cambria" w:hAnsi="Cambria"/>
          <w:sz w:val="24"/>
          <w:szCs w:val="24"/>
        </w:rPr>
        <w:t>.</w:t>
      </w:r>
    </w:p>
    <w:p w:rsidR="006C7563" w:rsidRPr="006C7563" w:rsidRDefault="006C7563" w:rsidP="009C0EE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0C2962">
        <w:rPr>
          <w:rFonts w:ascii="Cambria" w:hAnsi="Cambria"/>
          <w:b/>
          <w:sz w:val="24"/>
          <w:szCs w:val="24"/>
        </w:rPr>
        <w:t xml:space="preserve">Φήμη μεταξύ των Εργοδοτών:  </w:t>
      </w:r>
      <w:r w:rsidRPr="000C2962">
        <w:rPr>
          <w:rFonts w:ascii="Cambria" w:hAnsi="Cambria"/>
          <w:sz w:val="24"/>
          <w:szCs w:val="24"/>
        </w:rPr>
        <w:t>Πρόκειται για ίδιου τύπου με την προηγούμενη έρευνα ερωτηματολογίων, μόνο που απευθύνεται σε δείγμα εργοδοτών των αποφοίτων των πανεπιστημίων. Πάνω από 4</w:t>
      </w:r>
      <w:r w:rsidR="008A5413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 xml:space="preserve">.000 </w:t>
      </w:r>
      <w:r w:rsidR="00F66A71" w:rsidRPr="000C2962">
        <w:rPr>
          <w:rFonts w:ascii="Cambria" w:hAnsi="Cambria"/>
          <w:sz w:val="24"/>
          <w:szCs w:val="24"/>
        </w:rPr>
        <w:t xml:space="preserve">ερωτηματολόγια </w:t>
      </w:r>
      <w:r w:rsidRPr="000C2962">
        <w:rPr>
          <w:rFonts w:ascii="Cambria" w:hAnsi="Cambria"/>
          <w:sz w:val="24"/>
          <w:szCs w:val="24"/>
        </w:rPr>
        <w:t>εργοδοτών παγκοσμίως έχουν ληφθεί υπόψη μεταξύ των ετών 201</w:t>
      </w:r>
      <w:r w:rsidR="008A5413">
        <w:rPr>
          <w:rFonts w:ascii="Cambria" w:hAnsi="Cambria"/>
          <w:sz w:val="24"/>
          <w:szCs w:val="24"/>
        </w:rPr>
        <w:t>5</w:t>
      </w:r>
      <w:r w:rsidRPr="000C2962">
        <w:rPr>
          <w:rFonts w:ascii="Cambria" w:hAnsi="Cambria"/>
          <w:sz w:val="24"/>
          <w:szCs w:val="24"/>
        </w:rPr>
        <w:t xml:space="preserve"> και </w:t>
      </w:r>
      <w:r w:rsidR="00F66A71" w:rsidRPr="000C2962">
        <w:rPr>
          <w:rFonts w:ascii="Cambria" w:hAnsi="Cambria"/>
          <w:sz w:val="24"/>
          <w:szCs w:val="24"/>
        </w:rPr>
        <w:t>201</w:t>
      </w:r>
      <w:r w:rsidR="008A5413">
        <w:rPr>
          <w:rFonts w:ascii="Cambria" w:hAnsi="Cambria"/>
          <w:sz w:val="24"/>
          <w:szCs w:val="24"/>
        </w:rPr>
        <w:t>9</w:t>
      </w:r>
      <w:r w:rsidR="00F66A71" w:rsidRPr="000C2962">
        <w:rPr>
          <w:rFonts w:ascii="Cambria" w:hAnsi="Cambria"/>
          <w:sz w:val="24"/>
          <w:szCs w:val="24"/>
        </w:rPr>
        <w:t>. Τα ερωτηματολόγια αυτά δίνουν</w:t>
      </w:r>
      <w:r w:rsidRPr="000C2962">
        <w:rPr>
          <w:rFonts w:ascii="Cambria" w:hAnsi="Cambria"/>
          <w:sz w:val="24"/>
          <w:szCs w:val="24"/>
        </w:rPr>
        <w:t xml:space="preserve"> μια </w:t>
      </w:r>
      <w:r w:rsidR="00F66A71" w:rsidRPr="000C2962">
        <w:rPr>
          <w:rFonts w:ascii="Cambria" w:hAnsi="Cambria"/>
          <w:sz w:val="24"/>
          <w:szCs w:val="24"/>
        </w:rPr>
        <w:t xml:space="preserve">σημαντική εικόνα και πληροφορίες, </w:t>
      </w:r>
      <w:r w:rsidRPr="000C2962">
        <w:rPr>
          <w:rFonts w:ascii="Cambria" w:hAnsi="Cambria"/>
          <w:sz w:val="24"/>
          <w:szCs w:val="24"/>
        </w:rPr>
        <w:t xml:space="preserve">όσον αφορά τις προσλήψεις αποφοίτων </w:t>
      </w:r>
      <w:r w:rsidR="00F66A71" w:rsidRPr="000C2962">
        <w:rPr>
          <w:rFonts w:ascii="Cambria" w:hAnsi="Cambria"/>
          <w:sz w:val="24"/>
          <w:szCs w:val="24"/>
        </w:rPr>
        <w:t xml:space="preserve">των </w:t>
      </w:r>
      <w:r w:rsidRPr="000C2962">
        <w:rPr>
          <w:rFonts w:ascii="Cambria" w:hAnsi="Cambria"/>
          <w:sz w:val="24"/>
          <w:szCs w:val="24"/>
        </w:rPr>
        <w:t xml:space="preserve">Πανεπιστημίων. Στην έρευνα αυτή έχουν συμμετάσχει εργοδότες από όλους τους τομείς της Οικονομίας, και ανάμεσα τους εταιρίες όπως το Facebook, η </w:t>
      </w:r>
      <w:proofErr w:type="spellStart"/>
      <w:r w:rsidRPr="000C2962">
        <w:rPr>
          <w:rFonts w:ascii="Cambria" w:hAnsi="Cambria"/>
          <w:sz w:val="24"/>
          <w:szCs w:val="24"/>
        </w:rPr>
        <w:t>Google</w:t>
      </w:r>
      <w:proofErr w:type="spellEnd"/>
      <w:r w:rsidRPr="000C2962">
        <w:rPr>
          <w:rFonts w:ascii="Cambria" w:hAnsi="Cambria"/>
          <w:sz w:val="24"/>
          <w:szCs w:val="24"/>
        </w:rPr>
        <w:t>, η</w:t>
      </w:r>
      <w:r w:rsidRPr="000C2962">
        <w:rPr>
          <w:rFonts w:ascii="Cambria" w:hAnsi="Cambria"/>
          <w:sz w:val="24"/>
          <w:szCs w:val="24"/>
          <w:lang w:val="en-US"/>
        </w:rPr>
        <w:t>Wells</w:t>
      </w:r>
      <w:r w:rsidRPr="008A5413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Fargo</w:t>
      </w:r>
      <w:r w:rsidRPr="000C2962">
        <w:rPr>
          <w:rFonts w:ascii="Cambria" w:hAnsi="Cambria"/>
          <w:sz w:val="24"/>
          <w:szCs w:val="24"/>
        </w:rPr>
        <w:t>, η</w:t>
      </w:r>
      <w:r w:rsidRPr="008A5413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Bank</w:t>
      </w:r>
      <w:r w:rsidRPr="008A5413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of</w:t>
      </w:r>
      <w:r w:rsidRPr="008A5413">
        <w:rPr>
          <w:rFonts w:ascii="Cambria" w:hAnsi="Cambria"/>
          <w:sz w:val="24"/>
          <w:szCs w:val="24"/>
        </w:rPr>
        <w:t xml:space="preserve"> </w:t>
      </w:r>
      <w:r w:rsidRPr="000C2962">
        <w:rPr>
          <w:rFonts w:ascii="Cambria" w:hAnsi="Cambria"/>
          <w:sz w:val="24"/>
          <w:szCs w:val="24"/>
          <w:lang w:val="en-US"/>
        </w:rPr>
        <w:t>America</w:t>
      </w:r>
      <w:proofErr w:type="spellStart"/>
      <w:r w:rsidRPr="000C2962">
        <w:rPr>
          <w:rFonts w:ascii="Cambria" w:hAnsi="Cambria"/>
          <w:sz w:val="24"/>
          <w:szCs w:val="24"/>
        </w:rPr>
        <w:t>κ.α</w:t>
      </w:r>
      <w:proofErr w:type="spellEnd"/>
      <w:r w:rsidRPr="000C2962">
        <w:rPr>
          <w:rFonts w:ascii="Cambria" w:hAnsi="Cambria"/>
          <w:sz w:val="24"/>
          <w:szCs w:val="24"/>
        </w:rPr>
        <w:t xml:space="preserve"> Το βάρος του κριτηρίου αυτού για τις νομικές σχολές είναι 30%.</w:t>
      </w:r>
    </w:p>
    <w:p w:rsidR="00562AAA" w:rsidRPr="00E034FE" w:rsidRDefault="00562AAA" w:rsidP="009C0E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E034FE">
        <w:rPr>
          <w:rFonts w:ascii="Cambria" w:hAnsi="Cambria"/>
          <w:b/>
          <w:sz w:val="24"/>
          <w:szCs w:val="24"/>
        </w:rPr>
        <w:t xml:space="preserve">Αριθμός </w:t>
      </w:r>
      <w:proofErr w:type="spellStart"/>
      <w:r w:rsidRPr="00E034FE">
        <w:rPr>
          <w:rFonts w:ascii="Cambria" w:hAnsi="Cambria"/>
          <w:b/>
          <w:sz w:val="24"/>
          <w:szCs w:val="24"/>
        </w:rPr>
        <w:t>ετερο</w:t>
      </w:r>
      <w:proofErr w:type="spellEnd"/>
      <w:r w:rsidRPr="00E034FE">
        <w:rPr>
          <w:rFonts w:ascii="Cambria" w:hAnsi="Cambria"/>
          <w:b/>
          <w:sz w:val="24"/>
          <w:szCs w:val="24"/>
        </w:rPr>
        <w:t>-αναφορών ανά εργασία</w:t>
      </w:r>
      <w:r w:rsidRPr="00E034FE">
        <w:rPr>
          <w:rFonts w:ascii="Cambria" w:hAnsi="Cambria"/>
          <w:sz w:val="24"/>
          <w:szCs w:val="24"/>
        </w:rPr>
        <w:t xml:space="preserve">. Η </w:t>
      </w:r>
      <w:r w:rsidRPr="00E034FE">
        <w:rPr>
          <w:rFonts w:ascii="Cambria" w:hAnsi="Cambria"/>
          <w:sz w:val="24"/>
          <w:szCs w:val="24"/>
          <w:lang w:val="en-US"/>
        </w:rPr>
        <w:t>QS</w:t>
      </w:r>
      <w:r w:rsidRPr="00E034FE">
        <w:rPr>
          <w:rFonts w:ascii="Cambria" w:hAnsi="Cambria"/>
          <w:sz w:val="24"/>
          <w:szCs w:val="24"/>
        </w:rPr>
        <w:t xml:space="preserve"> χρησιμοποιεί τα δεδομένα της βάσης </w:t>
      </w:r>
      <w:r w:rsidRPr="00E034FE">
        <w:rPr>
          <w:rFonts w:ascii="Cambria" w:hAnsi="Cambria"/>
          <w:sz w:val="24"/>
          <w:szCs w:val="24"/>
          <w:lang w:val="en-US"/>
        </w:rPr>
        <w:t>Scopus</w:t>
      </w:r>
      <w:r w:rsidRPr="00E034FE">
        <w:rPr>
          <w:rFonts w:ascii="Cambria" w:hAnsi="Cambria"/>
          <w:sz w:val="24"/>
          <w:szCs w:val="24"/>
        </w:rPr>
        <w:t xml:space="preserve">. Αθροίζεται ο συνολικός αριθμός </w:t>
      </w:r>
      <w:proofErr w:type="spellStart"/>
      <w:r w:rsidRPr="00E034FE">
        <w:rPr>
          <w:rFonts w:ascii="Cambria" w:hAnsi="Cambria"/>
          <w:sz w:val="24"/>
          <w:szCs w:val="24"/>
        </w:rPr>
        <w:t>ετερο</w:t>
      </w:r>
      <w:proofErr w:type="spellEnd"/>
      <w:r w:rsidRPr="00E034FE">
        <w:rPr>
          <w:rFonts w:ascii="Cambria" w:hAnsi="Cambria"/>
          <w:sz w:val="24"/>
          <w:szCs w:val="24"/>
        </w:rPr>
        <w:t>-αναφορών σε εργασίες της τελευταίας πενταετίας που συνεγράφησαν από μέλη ΔΕΠ του Πανεπιστημίου πάνω στο συγκεκριμένο επιστημονικό τομέα και διαιρούνται με τον αντίστοιχο συνολικό</w:t>
      </w:r>
      <w:r w:rsidR="00F66A71">
        <w:rPr>
          <w:rFonts w:ascii="Cambria" w:hAnsi="Cambria"/>
          <w:sz w:val="24"/>
          <w:szCs w:val="24"/>
        </w:rPr>
        <w:t xml:space="preserve"> αριθμό </w:t>
      </w:r>
      <w:r w:rsidRPr="00E034FE">
        <w:rPr>
          <w:rFonts w:ascii="Cambria" w:hAnsi="Cambria"/>
          <w:sz w:val="24"/>
          <w:szCs w:val="24"/>
        </w:rPr>
        <w:t>καθηγητών</w:t>
      </w:r>
      <w:r w:rsidR="00F66A71">
        <w:rPr>
          <w:rFonts w:ascii="Cambria" w:hAnsi="Cambria"/>
          <w:sz w:val="24"/>
          <w:szCs w:val="24"/>
        </w:rPr>
        <w:t xml:space="preserve"> και ερευνητών</w:t>
      </w:r>
      <w:r w:rsidRPr="00E034FE">
        <w:rPr>
          <w:rFonts w:ascii="Cambria" w:hAnsi="Cambria"/>
          <w:sz w:val="24"/>
          <w:szCs w:val="24"/>
        </w:rPr>
        <w:t xml:space="preserve">. </w:t>
      </w:r>
      <w:r w:rsidR="000C2962" w:rsidRPr="000C2962">
        <w:rPr>
          <w:rFonts w:ascii="Cambria" w:hAnsi="Cambria"/>
          <w:sz w:val="24"/>
          <w:szCs w:val="24"/>
        </w:rPr>
        <w:t xml:space="preserve">Το βάρος </w:t>
      </w:r>
      <w:r w:rsidR="000C2962">
        <w:rPr>
          <w:rFonts w:ascii="Cambria" w:hAnsi="Cambria"/>
          <w:sz w:val="24"/>
          <w:szCs w:val="24"/>
        </w:rPr>
        <w:t xml:space="preserve">του </w:t>
      </w:r>
      <w:r w:rsidR="000C2962" w:rsidRPr="000C2962">
        <w:rPr>
          <w:rFonts w:ascii="Cambria" w:hAnsi="Cambria"/>
          <w:sz w:val="24"/>
          <w:szCs w:val="24"/>
        </w:rPr>
        <w:t>συγκεκριμένου  κριτηρίου στη συνολική βαθμολογία των νομικών σχολών  για το 20</w:t>
      </w:r>
      <w:r w:rsidR="008A5413">
        <w:rPr>
          <w:rFonts w:ascii="Cambria" w:hAnsi="Cambria"/>
          <w:sz w:val="24"/>
          <w:szCs w:val="24"/>
        </w:rPr>
        <w:t>20</w:t>
      </w:r>
      <w:r w:rsidR="000C2962" w:rsidRPr="000C2962">
        <w:rPr>
          <w:rFonts w:ascii="Cambria" w:hAnsi="Cambria"/>
          <w:sz w:val="24"/>
          <w:szCs w:val="24"/>
        </w:rPr>
        <w:t xml:space="preserve"> </w:t>
      </w:r>
      <w:r w:rsidR="00E53C0A">
        <w:rPr>
          <w:rFonts w:ascii="Cambria" w:hAnsi="Cambria"/>
          <w:sz w:val="24"/>
          <w:szCs w:val="24"/>
        </w:rPr>
        <w:t>είναι 5</w:t>
      </w:r>
      <w:r>
        <w:rPr>
          <w:rFonts w:ascii="Cambria" w:hAnsi="Cambria"/>
          <w:sz w:val="24"/>
          <w:szCs w:val="24"/>
        </w:rPr>
        <w:t>%.</w:t>
      </w:r>
    </w:p>
    <w:p w:rsidR="00F30CC2" w:rsidRDefault="008B201F" w:rsidP="009C0EEE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mbria" w:hAnsi="Cambria"/>
        </w:rPr>
      </w:pPr>
      <w:r w:rsidRPr="008B201F">
        <w:rPr>
          <w:rFonts w:ascii="Cambria" w:hAnsi="Cambria"/>
        </w:rPr>
        <w:t xml:space="preserve">Ο </w:t>
      </w:r>
      <w:r w:rsidRPr="00E53C0A">
        <w:rPr>
          <w:rFonts w:ascii="Cambria" w:hAnsi="Cambria"/>
          <w:b/>
        </w:rPr>
        <w:t>δείκτης h-</w:t>
      </w:r>
      <w:proofErr w:type="spellStart"/>
      <w:r w:rsidRPr="00E53C0A">
        <w:rPr>
          <w:rFonts w:ascii="Cambria" w:hAnsi="Cambria"/>
          <w:b/>
        </w:rPr>
        <w:t>index</w:t>
      </w:r>
      <w:proofErr w:type="spellEnd"/>
      <w:r w:rsidRPr="008B201F">
        <w:rPr>
          <w:rFonts w:ascii="Cambria" w:hAnsi="Cambria"/>
        </w:rPr>
        <w:t xml:space="preserve"> είναι ένας τρόπος μέτρησης τόσο της παραγωγικότητας όσο και της επίδρασης του δημοσιευμένου έργου ενός επιστήμονα ή ερευνητή. Ο δείκτης βασίζεται στο σύνολο των πιο συχνά αναφερόμενων έργων του ακαδημαϊκού και στον αριθμό των παραπομπών που έλαβαν σε άλλες </w:t>
      </w:r>
      <w:proofErr w:type="spellStart"/>
      <w:r w:rsidRPr="008B201F">
        <w:rPr>
          <w:rFonts w:ascii="Cambria" w:hAnsi="Cambria"/>
        </w:rPr>
        <w:t>δημοσιεύσεις.</w:t>
      </w:r>
      <w:r w:rsidR="004208BF" w:rsidRPr="004208BF">
        <w:rPr>
          <w:rFonts w:ascii="Cambria" w:hAnsi="Cambria"/>
        </w:rPr>
        <w:t>Το</w:t>
      </w:r>
      <w:proofErr w:type="spellEnd"/>
      <w:r w:rsidR="004208BF" w:rsidRPr="004208BF">
        <w:rPr>
          <w:rFonts w:ascii="Cambria" w:hAnsi="Cambria"/>
        </w:rPr>
        <w:t xml:space="preserve"> βάρος του συγκεκριμένου  κριτηρίου στη συνολική βαθμολογία των νομικών σχολών  για το 20</w:t>
      </w:r>
      <w:r w:rsidR="008A5413">
        <w:rPr>
          <w:rFonts w:ascii="Cambria" w:hAnsi="Cambria"/>
        </w:rPr>
        <w:t xml:space="preserve">20 </w:t>
      </w:r>
      <w:r w:rsidR="004208BF" w:rsidRPr="004208BF">
        <w:rPr>
          <w:rFonts w:ascii="Cambria" w:hAnsi="Cambria"/>
        </w:rPr>
        <w:t xml:space="preserve"> είναι </w:t>
      </w:r>
      <w:r w:rsidR="00E53C0A">
        <w:rPr>
          <w:rFonts w:ascii="Cambria" w:hAnsi="Cambria"/>
        </w:rPr>
        <w:t>1</w:t>
      </w:r>
      <w:r w:rsidR="00E53C0A" w:rsidRPr="00E53C0A">
        <w:rPr>
          <w:rFonts w:ascii="Cambria" w:hAnsi="Cambria"/>
        </w:rPr>
        <w:t>5%.</w:t>
      </w:r>
    </w:p>
    <w:p w:rsidR="009C0EEE" w:rsidRDefault="009C0EEE" w:rsidP="009C0EE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</w:rPr>
      </w:pPr>
    </w:p>
    <w:p w:rsidR="008A5413" w:rsidRDefault="008A5413" w:rsidP="009C0EEE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</w:p>
    <w:p w:rsidR="008A5413" w:rsidRDefault="008A5413" w:rsidP="009C0EEE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</w:p>
    <w:p w:rsidR="002F13A0" w:rsidRPr="009C0EEE" w:rsidRDefault="009C0EEE" w:rsidP="009C0EEE">
      <w:pPr>
        <w:spacing w:after="0" w:line="360" w:lineRule="auto"/>
        <w:jc w:val="both"/>
        <w:rPr>
          <w:rFonts w:ascii="Cambria" w:hAnsi="Cambria"/>
          <w:b/>
          <w:bCs/>
          <w:color w:val="000000"/>
        </w:rPr>
      </w:pPr>
      <w:r w:rsidRPr="009C0EEE">
        <w:rPr>
          <w:rFonts w:ascii="Cambria" w:hAnsi="Cambria"/>
          <w:b/>
          <w:bCs/>
          <w:color w:val="000000"/>
        </w:rPr>
        <w:lastRenderedPageBreak/>
        <w:t xml:space="preserve">Πίνακας 1: Η θέση και η βαθμολογία των επιμέρους κριτηρίων για τη Νομική Σχολή ΕΚΠΑ στην κατάταξη της </w:t>
      </w:r>
      <w:r w:rsidRPr="009C0EEE">
        <w:rPr>
          <w:rFonts w:ascii="Cambria" w:hAnsi="Cambria"/>
          <w:b/>
          <w:bCs/>
          <w:color w:val="000000"/>
          <w:lang w:val="en-US"/>
        </w:rPr>
        <w:t>QS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37"/>
        <w:gridCol w:w="1392"/>
        <w:gridCol w:w="1377"/>
        <w:gridCol w:w="1286"/>
        <w:gridCol w:w="1228"/>
        <w:gridCol w:w="942"/>
        <w:gridCol w:w="1344"/>
      </w:tblGrid>
      <w:tr w:rsidR="009C0EEE" w:rsidRPr="009C0EEE" w:rsidTr="009C0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70CAC" w:rsidRPr="009C0EEE" w:rsidRDefault="00870CAC" w:rsidP="002F13A0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Έτος</w:t>
            </w:r>
          </w:p>
        </w:tc>
        <w:tc>
          <w:tcPr>
            <w:tcW w:w="1561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bCs w:val="0"/>
                <w:color w:val="000000"/>
                <w:sz w:val="20"/>
                <w:szCs w:val="20"/>
              </w:rPr>
              <w:t>Θέση Παγκοσμίως</w:t>
            </w:r>
          </w:p>
        </w:tc>
        <w:tc>
          <w:tcPr>
            <w:tcW w:w="1451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Ακαδημαϊκή Φήμη</w:t>
            </w:r>
          </w:p>
        </w:tc>
        <w:tc>
          <w:tcPr>
            <w:tcW w:w="1404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Φήμη μεταξύ των Εργοδοτών</w:t>
            </w:r>
          </w:p>
        </w:tc>
        <w:tc>
          <w:tcPr>
            <w:tcW w:w="1323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 xml:space="preserve">Αριθμός 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ετερο</w:t>
            </w:r>
            <w:proofErr w:type="spellEnd"/>
            <w:r w:rsidRPr="009C0EEE">
              <w:rPr>
                <w:rFonts w:ascii="Cambria" w:hAnsi="Cambria"/>
                <w:sz w:val="20"/>
                <w:szCs w:val="20"/>
              </w:rPr>
              <w:t>-αναφορών ανά εργασία</w:t>
            </w:r>
          </w:p>
        </w:tc>
        <w:tc>
          <w:tcPr>
            <w:tcW w:w="1176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0000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δείκτης h-</w:t>
            </w:r>
            <w:proofErr w:type="spellStart"/>
            <w:r w:rsidRPr="009C0EEE">
              <w:rPr>
                <w:rFonts w:ascii="Cambria" w:hAnsi="Cambria"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804" w:type="dxa"/>
          </w:tcPr>
          <w:p w:rsidR="00870CAC" w:rsidRPr="009C0EEE" w:rsidRDefault="00870CAC" w:rsidP="002F13A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C0EEE">
              <w:rPr>
                <w:rFonts w:ascii="Cambria" w:hAnsi="Cambria"/>
                <w:sz w:val="20"/>
                <w:szCs w:val="20"/>
              </w:rPr>
              <w:t>Συνολική Βαθμολογία</w:t>
            </w:r>
          </w:p>
        </w:tc>
      </w:tr>
      <w:tr w:rsidR="001D0FCB" w:rsidRPr="009C0EEE" w:rsidTr="009C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1D0FCB" w:rsidRPr="009C0EEE" w:rsidRDefault="001D0FCB" w:rsidP="002F13A0">
            <w:pPr>
              <w:spacing w:before="100" w:beforeAutospacing="1" w:after="100" w:afterAutospacing="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2020</w:t>
            </w:r>
          </w:p>
        </w:tc>
        <w:tc>
          <w:tcPr>
            <w:tcW w:w="1561" w:type="dxa"/>
          </w:tcPr>
          <w:p w:rsidR="001D0FCB" w:rsidRPr="009C0EEE" w:rsidRDefault="001D0FCB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 w:rsidRPr="009C0EEE">
              <w:rPr>
                <w:rFonts w:ascii="Cambria" w:hAnsi="Cambria"/>
                <w:b/>
                <w:bCs/>
                <w:color w:val="000000"/>
              </w:rPr>
              <w:t>251-300</w:t>
            </w:r>
          </w:p>
        </w:tc>
        <w:tc>
          <w:tcPr>
            <w:tcW w:w="1451" w:type="dxa"/>
          </w:tcPr>
          <w:p w:rsidR="001D0FCB" w:rsidRPr="009C0EEE" w:rsidRDefault="001D0FCB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56,4</w:t>
            </w:r>
          </w:p>
        </w:tc>
        <w:tc>
          <w:tcPr>
            <w:tcW w:w="1404" w:type="dxa"/>
          </w:tcPr>
          <w:p w:rsidR="001D0FCB" w:rsidRPr="009C0EEE" w:rsidRDefault="001D0FCB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57,8</w:t>
            </w:r>
          </w:p>
        </w:tc>
        <w:tc>
          <w:tcPr>
            <w:tcW w:w="1323" w:type="dxa"/>
          </w:tcPr>
          <w:p w:rsidR="001D0FCB" w:rsidRPr="009C0EEE" w:rsidRDefault="001D0FCB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66,8</w:t>
            </w:r>
          </w:p>
        </w:tc>
        <w:tc>
          <w:tcPr>
            <w:tcW w:w="1176" w:type="dxa"/>
          </w:tcPr>
          <w:p w:rsidR="001D0FCB" w:rsidRPr="009C0EEE" w:rsidRDefault="001D0FCB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55,9</w:t>
            </w:r>
          </w:p>
        </w:tc>
        <w:tc>
          <w:tcPr>
            <w:tcW w:w="804" w:type="dxa"/>
          </w:tcPr>
          <w:p w:rsidR="001D0FCB" w:rsidRPr="009C0EEE" w:rsidRDefault="001D0FCB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57,3</w:t>
            </w:r>
          </w:p>
        </w:tc>
      </w:tr>
      <w:tr w:rsidR="009C0EEE" w:rsidRPr="009C0EEE" w:rsidTr="009C0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70CAC" w:rsidRPr="009C0EEE" w:rsidRDefault="00870CAC" w:rsidP="002F13A0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2019</w:t>
            </w:r>
          </w:p>
        </w:tc>
        <w:tc>
          <w:tcPr>
            <w:tcW w:w="1561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 w:rsidRPr="009C0EEE">
              <w:rPr>
                <w:rFonts w:ascii="Cambria" w:hAnsi="Cambria"/>
                <w:b/>
                <w:bCs/>
                <w:color w:val="000000"/>
              </w:rPr>
              <w:t>251-300</w:t>
            </w:r>
          </w:p>
        </w:tc>
        <w:tc>
          <w:tcPr>
            <w:tcW w:w="1451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57,2</w:t>
            </w:r>
          </w:p>
        </w:tc>
        <w:tc>
          <w:tcPr>
            <w:tcW w:w="1404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57,6</w:t>
            </w:r>
          </w:p>
        </w:tc>
        <w:tc>
          <w:tcPr>
            <w:tcW w:w="1323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63,6</w:t>
            </w:r>
          </w:p>
        </w:tc>
        <w:tc>
          <w:tcPr>
            <w:tcW w:w="1176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53</w:t>
            </w:r>
          </w:p>
        </w:tc>
        <w:tc>
          <w:tcPr>
            <w:tcW w:w="804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57</w:t>
            </w:r>
          </w:p>
        </w:tc>
      </w:tr>
      <w:tr w:rsidR="009C0EEE" w:rsidRPr="009C0EEE" w:rsidTr="009C0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70CAC" w:rsidRPr="009C0EEE" w:rsidRDefault="00870CAC" w:rsidP="002F13A0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2018</w:t>
            </w:r>
          </w:p>
        </w:tc>
        <w:tc>
          <w:tcPr>
            <w:tcW w:w="1561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 w:rsidRPr="009C0EEE">
              <w:rPr>
                <w:rFonts w:ascii="Cambria" w:hAnsi="Cambria"/>
                <w:b/>
                <w:bCs/>
                <w:color w:val="000000"/>
              </w:rPr>
              <w:t>251-300</w:t>
            </w:r>
          </w:p>
        </w:tc>
        <w:tc>
          <w:tcPr>
            <w:tcW w:w="1451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51,4</w:t>
            </w:r>
          </w:p>
        </w:tc>
        <w:tc>
          <w:tcPr>
            <w:tcW w:w="1404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60,8</w:t>
            </w:r>
          </w:p>
        </w:tc>
        <w:tc>
          <w:tcPr>
            <w:tcW w:w="1323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69,8</w:t>
            </w:r>
          </w:p>
        </w:tc>
        <w:tc>
          <w:tcPr>
            <w:tcW w:w="1176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  <w:lang w:val="en-US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45,6</w:t>
            </w:r>
          </w:p>
        </w:tc>
        <w:tc>
          <w:tcPr>
            <w:tcW w:w="804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  <w:lang w:val="en-US"/>
              </w:rPr>
            </w:pPr>
            <w:r w:rsidRPr="009C0EEE">
              <w:rPr>
                <w:rFonts w:ascii="Cambria" w:hAnsi="Cambria"/>
                <w:bCs/>
                <w:color w:val="000000"/>
                <w:lang w:val="en-US"/>
              </w:rPr>
              <w:t>54,3</w:t>
            </w:r>
          </w:p>
        </w:tc>
      </w:tr>
      <w:tr w:rsidR="009C0EEE" w:rsidRPr="009C0EEE" w:rsidTr="009C0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870CAC" w:rsidRPr="009C0EEE" w:rsidRDefault="00870CAC" w:rsidP="002F13A0">
            <w:pPr>
              <w:spacing w:before="100" w:beforeAutospacing="1" w:after="100" w:afterAutospacing="1"/>
              <w:rPr>
                <w:rFonts w:ascii="Cambria" w:hAnsi="Cambria"/>
                <w:bCs w:val="0"/>
                <w:color w:val="000000"/>
              </w:rPr>
            </w:pPr>
            <w:r w:rsidRPr="009C0EEE">
              <w:rPr>
                <w:rFonts w:ascii="Cambria" w:hAnsi="Cambria"/>
                <w:bCs w:val="0"/>
                <w:color w:val="000000"/>
              </w:rPr>
              <w:t>2017</w:t>
            </w:r>
          </w:p>
        </w:tc>
        <w:tc>
          <w:tcPr>
            <w:tcW w:w="1561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</w:rPr>
            </w:pPr>
            <w:r w:rsidRPr="009C0EEE">
              <w:rPr>
                <w:rFonts w:ascii="Cambria" w:hAnsi="Cambria"/>
                <w:b/>
                <w:bCs/>
                <w:color w:val="000000"/>
              </w:rPr>
              <w:t>251-300</w:t>
            </w:r>
          </w:p>
        </w:tc>
        <w:tc>
          <w:tcPr>
            <w:tcW w:w="1451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44,9</w:t>
            </w:r>
          </w:p>
        </w:tc>
        <w:tc>
          <w:tcPr>
            <w:tcW w:w="1404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60,5</w:t>
            </w:r>
          </w:p>
        </w:tc>
        <w:tc>
          <w:tcPr>
            <w:tcW w:w="1323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69,9</w:t>
            </w:r>
          </w:p>
        </w:tc>
        <w:tc>
          <w:tcPr>
            <w:tcW w:w="1176" w:type="dxa"/>
          </w:tcPr>
          <w:p w:rsidR="00870CAC" w:rsidRPr="009C0EEE" w:rsidRDefault="00870CAC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9C0EEE">
              <w:rPr>
                <w:rFonts w:ascii="Cambria" w:hAnsi="Cambria"/>
                <w:bCs/>
                <w:color w:val="000000"/>
              </w:rPr>
              <w:t>55,3</w:t>
            </w:r>
          </w:p>
        </w:tc>
        <w:tc>
          <w:tcPr>
            <w:tcW w:w="804" w:type="dxa"/>
          </w:tcPr>
          <w:p w:rsidR="00870CAC" w:rsidRPr="009C0EEE" w:rsidRDefault="009C0EEE" w:rsidP="00870CA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  <w:lang w:val="en-US"/>
              </w:rPr>
            </w:pPr>
            <w:r w:rsidRPr="009C0EEE">
              <w:rPr>
                <w:rFonts w:ascii="Cambria" w:hAnsi="Cambria"/>
                <w:bCs/>
                <w:color w:val="000000"/>
                <w:lang w:val="en-US"/>
              </w:rPr>
              <w:t>52,39</w:t>
            </w:r>
          </w:p>
        </w:tc>
      </w:tr>
    </w:tbl>
    <w:p w:rsidR="00E53C0A" w:rsidRDefault="009C0EEE" w:rsidP="009C0EEE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  <w:r w:rsidRPr="000862D3">
        <w:rPr>
          <w:rFonts w:ascii="Cambria" w:hAnsi="Cambria"/>
          <w:b/>
          <w:bCs/>
          <w:color w:val="000000"/>
          <w:sz w:val="18"/>
          <w:szCs w:val="18"/>
        </w:rPr>
        <w:t xml:space="preserve">Πηγή: </w:t>
      </w:r>
      <w:r w:rsidRPr="000862D3">
        <w:rPr>
          <w:rFonts w:ascii="Cambria" w:hAnsi="Cambria"/>
          <w:bCs/>
          <w:color w:val="000000"/>
          <w:sz w:val="18"/>
          <w:szCs w:val="18"/>
        </w:rPr>
        <w:t xml:space="preserve">Ιστοσελίδα και  Εκθέσεις </w:t>
      </w:r>
      <w:r w:rsidR="008A5413">
        <w:rPr>
          <w:rFonts w:ascii="Cambria" w:hAnsi="Cambria"/>
          <w:bCs/>
          <w:color w:val="000000"/>
          <w:sz w:val="18"/>
          <w:szCs w:val="18"/>
        </w:rPr>
        <w:t xml:space="preserve">της </w:t>
      </w:r>
      <w:r w:rsidR="000862D3" w:rsidRPr="000862D3">
        <w:rPr>
          <w:rFonts w:ascii="Cambria" w:hAnsi="Cambria"/>
          <w:bCs/>
          <w:color w:val="000000"/>
          <w:sz w:val="18"/>
          <w:szCs w:val="18"/>
        </w:rPr>
        <w:t>QS (</w:t>
      </w:r>
      <w:proofErr w:type="spellStart"/>
      <w:r w:rsidR="000862D3" w:rsidRPr="000862D3">
        <w:rPr>
          <w:rFonts w:ascii="Cambria" w:hAnsi="Cambria"/>
          <w:bCs/>
          <w:color w:val="000000"/>
          <w:sz w:val="18"/>
          <w:szCs w:val="18"/>
        </w:rPr>
        <w:t>Quacquarelli</w:t>
      </w:r>
      <w:proofErr w:type="spellEnd"/>
      <w:r w:rsidR="008A5413">
        <w:rPr>
          <w:rFonts w:ascii="Cambria" w:hAnsi="Cambria"/>
          <w:bCs/>
          <w:color w:val="000000"/>
          <w:sz w:val="18"/>
          <w:szCs w:val="18"/>
        </w:rPr>
        <w:t xml:space="preserve"> </w:t>
      </w:r>
      <w:proofErr w:type="spellStart"/>
      <w:r w:rsidR="000862D3" w:rsidRPr="000862D3">
        <w:rPr>
          <w:rFonts w:ascii="Cambria" w:hAnsi="Cambria"/>
          <w:bCs/>
          <w:color w:val="000000"/>
          <w:sz w:val="18"/>
          <w:szCs w:val="18"/>
        </w:rPr>
        <w:t>Symonds</w:t>
      </w:r>
      <w:proofErr w:type="spellEnd"/>
      <w:r w:rsidR="000862D3" w:rsidRPr="000862D3">
        <w:rPr>
          <w:rFonts w:ascii="Cambria" w:hAnsi="Cambria"/>
          <w:bCs/>
          <w:color w:val="000000"/>
          <w:sz w:val="18"/>
          <w:szCs w:val="18"/>
        </w:rPr>
        <w:t>)</w:t>
      </w:r>
    </w:p>
    <w:p w:rsidR="000862D3" w:rsidRDefault="000862D3" w:rsidP="009C0EEE">
      <w:pPr>
        <w:spacing w:after="0" w:line="240" w:lineRule="auto"/>
        <w:rPr>
          <w:rFonts w:ascii="Cambria" w:hAnsi="Cambria"/>
          <w:bCs/>
          <w:color w:val="000000"/>
          <w:sz w:val="18"/>
          <w:szCs w:val="18"/>
        </w:rPr>
      </w:pPr>
    </w:p>
    <w:p w:rsidR="00197173" w:rsidRDefault="000862D3" w:rsidP="000862D3">
      <w:pPr>
        <w:spacing w:after="0" w:line="36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 xml:space="preserve">Στον πίνακα 1, στον οποίο αποτυπώνεται η θέση και η βαθμολογία των επιμέρους κριτηρίων </w:t>
      </w:r>
      <w:r w:rsidRPr="000862D3">
        <w:rPr>
          <w:rFonts w:ascii="Cambria" w:hAnsi="Cambria"/>
          <w:b/>
          <w:bCs/>
          <w:color w:val="000000"/>
          <w:sz w:val="24"/>
          <w:szCs w:val="24"/>
        </w:rPr>
        <w:t xml:space="preserve">για τη Νομική Σχολή του ΕΚΠΑ, την τελευταία </w:t>
      </w:r>
      <w:r w:rsidR="001D0FCB">
        <w:rPr>
          <w:rFonts w:ascii="Cambria" w:hAnsi="Cambria"/>
          <w:b/>
          <w:bCs/>
          <w:color w:val="000000"/>
          <w:sz w:val="24"/>
          <w:szCs w:val="24"/>
        </w:rPr>
        <w:t>τετραετία</w:t>
      </w:r>
      <w:r>
        <w:rPr>
          <w:rFonts w:ascii="Cambria" w:hAnsi="Cambria"/>
          <w:bCs/>
          <w:color w:val="000000"/>
          <w:sz w:val="24"/>
          <w:szCs w:val="24"/>
        </w:rPr>
        <w:t>. Θα πρέπει να επισημανθεί ότι η ανώτερη συνολική βαθμολογία που μπορεί να λάβει ένα Πανεπιστήμιο είναι ο βαθμός 100.Με βάση την εικόνα της τριετίας, φαίνεται η ανοδική πορεία της Σχολής, η οποία την τ</w:t>
      </w:r>
      <w:r w:rsidR="001D0FCB">
        <w:rPr>
          <w:rFonts w:ascii="Cambria" w:hAnsi="Cambria"/>
          <w:bCs/>
          <w:color w:val="000000"/>
          <w:sz w:val="24"/>
          <w:szCs w:val="24"/>
        </w:rPr>
        <w:t>ετραετία</w:t>
      </w:r>
      <w:r>
        <w:rPr>
          <w:rFonts w:ascii="Cambria" w:hAnsi="Cambria"/>
          <w:bCs/>
          <w:color w:val="000000"/>
          <w:sz w:val="24"/>
          <w:szCs w:val="24"/>
        </w:rPr>
        <w:t xml:space="preserve"> 2017-20</w:t>
      </w:r>
      <w:r w:rsidR="001D0FCB">
        <w:rPr>
          <w:rFonts w:ascii="Cambria" w:hAnsi="Cambria"/>
          <w:bCs/>
          <w:color w:val="000000"/>
          <w:sz w:val="24"/>
          <w:szCs w:val="24"/>
        </w:rPr>
        <w:t>20</w:t>
      </w:r>
      <w:r>
        <w:rPr>
          <w:rFonts w:ascii="Cambria" w:hAnsi="Cambria"/>
          <w:bCs/>
          <w:color w:val="000000"/>
          <w:sz w:val="24"/>
          <w:szCs w:val="24"/>
        </w:rPr>
        <w:t xml:space="preserve"> </w:t>
      </w:r>
      <w:r w:rsidRPr="000862D3">
        <w:rPr>
          <w:rFonts w:ascii="Cambria" w:hAnsi="Cambria"/>
          <w:b/>
          <w:bCs/>
          <w:color w:val="000000"/>
          <w:sz w:val="24"/>
          <w:szCs w:val="24"/>
        </w:rPr>
        <w:t>αύξησε τη συνολική βαθμολογία της κατά 9%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. </w:t>
      </w:r>
      <w:r w:rsidRPr="000862D3">
        <w:rPr>
          <w:rFonts w:ascii="Cambria" w:hAnsi="Cambria"/>
          <w:bCs/>
          <w:color w:val="000000"/>
          <w:sz w:val="24"/>
          <w:szCs w:val="24"/>
        </w:rPr>
        <w:t>Επιπροσθέτω</w:t>
      </w:r>
      <w:r>
        <w:rPr>
          <w:rFonts w:ascii="Cambria" w:hAnsi="Cambria"/>
          <w:bCs/>
          <w:color w:val="000000"/>
          <w:sz w:val="24"/>
          <w:szCs w:val="24"/>
        </w:rPr>
        <w:t xml:space="preserve">ς είναι εμφανής η βελτίωση της </w:t>
      </w:r>
      <w:r w:rsidRPr="000862D3">
        <w:rPr>
          <w:rFonts w:ascii="Cambria" w:hAnsi="Cambria"/>
          <w:b/>
          <w:bCs/>
          <w:color w:val="000000"/>
          <w:sz w:val="24"/>
          <w:szCs w:val="24"/>
        </w:rPr>
        <w:t>ακαδημαϊκής φήμης</w:t>
      </w:r>
      <w:r w:rsidR="001D0FCB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197173">
        <w:rPr>
          <w:rFonts w:ascii="Cambria" w:hAnsi="Cambria"/>
          <w:b/>
          <w:bCs/>
          <w:color w:val="000000"/>
          <w:sz w:val="24"/>
          <w:szCs w:val="24"/>
        </w:rPr>
        <w:t>της Σχολής,</w:t>
      </w:r>
      <w:r w:rsidR="001D0FCB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3B1460">
        <w:rPr>
          <w:rFonts w:ascii="Cambria" w:hAnsi="Cambria"/>
          <w:b/>
          <w:bCs/>
          <w:color w:val="000000"/>
          <w:sz w:val="24"/>
          <w:szCs w:val="24"/>
        </w:rPr>
        <w:t xml:space="preserve">με την βαθμολογία της στο συγκεκριμένο κριτήριο </w:t>
      </w:r>
      <w:r w:rsidR="003B1460" w:rsidRPr="003B1460">
        <w:rPr>
          <w:rFonts w:ascii="Cambria" w:hAnsi="Cambria"/>
          <w:b/>
          <w:bCs/>
          <w:color w:val="000000"/>
          <w:sz w:val="24"/>
          <w:szCs w:val="24"/>
        </w:rPr>
        <w:t>να αυξάνεται κατά 2</w:t>
      </w:r>
      <w:r w:rsidR="00940C9F">
        <w:rPr>
          <w:rFonts w:ascii="Cambria" w:hAnsi="Cambria"/>
          <w:b/>
          <w:bCs/>
          <w:color w:val="000000"/>
          <w:sz w:val="24"/>
          <w:szCs w:val="24"/>
        </w:rPr>
        <w:t>5</w:t>
      </w:r>
      <w:r w:rsidR="003B1460" w:rsidRPr="003B1460">
        <w:rPr>
          <w:rFonts w:ascii="Cambria" w:hAnsi="Cambria"/>
          <w:b/>
          <w:bCs/>
          <w:color w:val="000000"/>
          <w:sz w:val="24"/>
          <w:szCs w:val="24"/>
        </w:rPr>
        <w:t>,</w:t>
      </w:r>
      <w:r w:rsidR="00940C9F">
        <w:rPr>
          <w:rFonts w:ascii="Cambria" w:hAnsi="Cambria"/>
          <w:b/>
          <w:bCs/>
          <w:color w:val="000000"/>
          <w:sz w:val="24"/>
          <w:szCs w:val="24"/>
        </w:rPr>
        <w:t>6</w:t>
      </w:r>
      <w:r w:rsidR="003B1460" w:rsidRPr="003B1460">
        <w:rPr>
          <w:rFonts w:ascii="Cambria" w:hAnsi="Cambria"/>
          <w:b/>
          <w:bCs/>
          <w:color w:val="000000"/>
          <w:sz w:val="24"/>
          <w:szCs w:val="24"/>
        </w:rPr>
        <w:t>%</w:t>
      </w:r>
      <w:r w:rsidR="001D0FCB">
        <w:rPr>
          <w:rFonts w:ascii="Cambria" w:hAnsi="Cambria"/>
          <w:b/>
          <w:bCs/>
          <w:color w:val="000000"/>
          <w:sz w:val="24"/>
          <w:szCs w:val="24"/>
        </w:rPr>
        <w:t xml:space="preserve"> σε σχέση με το 2017</w:t>
      </w:r>
      <w:r w:rsidR="003B1460">
        <w:rPr>
          <w:rFonts w:ascii="Cambria" w:hAnsi="Cambria"/>
          <w:b/>
          <w:bCs/>
          <w:color w:val="000000"/>
          <w:sz w:val="24"/>
          <w:szCs w:val="24"/>
        </w:rPr>
        <w:t xml:space="preserve">. </w:t>
      </w:r>
      <w:r w:rsidR="00940C9F">
        <w:rPr>
          <w:rFonts w:ascii="Cambria" w:hAnsi="Cambria"/>
          <w:bCs/>
          <w:color w:val="000000"/>
          <w:sz w:val="24"/>
          <w:szCs w:val="24"/>
        </w:rPr>
        <w:t>Παρά την</w:t>
      </w:r>
      <w:r w:rsidR="00197173">
        <w:rPr>
          <w:rFonts w:ascii="Cambria" w:hAnsi="Cambria"/>
          <w:bCs/>
          <w:color w:val="000000"/>
          <w:sz w:val="24"/>
          <w:szCs w:val="24"/>
        </w:rPr>
        <w:t xml:space="preserve"> οικονομική κρίση </w:t>
      </w:r>
      <w:r w:rsidR="00197173" w:rsidRPr="004208BF">
        <w:rPr>
          <w:rFonts w:ascii="Cambria" w:hAnsi="Cambria"/>
          <w:b/>
          <w:bCs/>
          <w:color w:val="000000"/>
          <w:sz w:val="24"/>
          <w:szCs w:val="24"/>
        </w:rPr>
        <w:t>οι εργοδότες δίνουν ψήφο εμπιστοσύνης στη Νομική Σχολή του ΕΚΠΑ</w:t>
      </w:r>
      <w:r w:rsidR="00197173">
        <w:rPr>
          <w:rFonts w:ascii="Cambria" w:hAnsi="Cambria"/>
          <w:bCs/>
          <w:color w:val="000000"/>
          <w:sz w:val="24"/>
          <w:szCs w:val="24"/>
        </w:rPr>
        <w:t>,  η οποία διατηρεί την 1</w:t>
      </w:r>
      <w:r w:rsidR="00197173" w:rsidRPr="00197173">
        <w:rPr>
          <w:rFonts w:ascii="Cambria" w:hAnsi="Cambria"/>
          <w:bCs/>
          <w:color w:val="000000"/>
          <w:sz w:val="24"/>
          <w:szCs w:val="24"/>
          <w:vertAlign w:val="superscript"/>
        </w:rPr>
        <w:t>η</w:t>
      </w:r>
      <w:r w:rsidR="00197173">
        <w:rPr>
          <w:rFonts w:ascii="Cambria" w:hAnsi="Cambria"/>
          <w:bCs/>
          <w:color w:val="000000"/>
          <w:sz w:val="24"/>
          <w:szCs w:val="24"/>
        </w:rPr>
        <w:t xml:space="preserve"> θέση στην προτίμηση των εργοδοτών στην Ελλάδα. </w:t>
      </w:r>
    </w:p>
    <w:p w:rsidR="002F13A0" w:rsidRPr="00655D21" w:rsidRDefault="002F13A0" w:rsidP="002F13A0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sectPr w:rsidR="002F13A0" w:rsidRPr="00655D21" w:rsidSect="0030644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77" w:rsidRDefault="00D62177">
      <w:pPr>
        <w:spacing w:after="0" w:line="240" w:lineRule="auto"/>
      </w:pPr>
      <w:r>
        <w:separator/>
      </w:r>
    </w:p>
  </w:endnote>
  <w:endnote w:type="continuationSeparator" w:id="0">
    <w:p w:rsidR="00D62177" w:rsidRDefault="00D6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0D9" w:rsidRDefault="00977766">
    <w:pPr>
      <w:pStyle w:val="a4"/>
      <w:jc w:val="right"/>
    </w:pPr>
    <w:r>
      <w:fldChar w:fldCharType="begin"/>
    </w:r>
    <w:r w:rsidR="00A67F23">
      <w:instrText xml:space="preserve"> PAGE   \* MERGEFORMAT </w:instrText>
    </w:r>
    <w:r>
      <w:fldChar w:fldCharType="separate"/>
    </w:r>
    <w:r w:rsidR="00940C9F">
      <w:rPr>
        <w:noProof/>
      </w:rPr>
      <w:t>3</w:t>
    </w:r>
    <w:r>
      <w:fldChar w:fldCharType="end"/>
    </w:r>
  </w:p>
  <w:p w:rsidR="009450D9" w:rsidRDefault="00D621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77" w:rsidRDefault="00D62177">
      <w:pPr>
        <w:spacing w:after="0" w:line="240" w:lineRule="auto"/>
      </w:pPr>
      <w:r>
        <w:separator/>
      </w:r>
    </w:p>
  </w:footnote>
  <w:footnote w:type="continuationSeparator" w:id="0">
    <w:p w:rsidR="00D62177" w:rsidRDefault="00D6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1579"/>
    <w:multiLevelType w:val="hybridMultilevel"/>
    <w:tmpl w:val="43E64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09AE"/>
    <w:multiLevelType w:val="hybridMultilevel"/>
    <w:tmpl w:val="D3FC23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0"/>
    <w:rsid w:val="00050564"/>
    <w:rsid w:val="00080CBC"/>
    <w:rsid w:val="000862D3"/>
    <w:rsid w:val="000C2962"/>
    <w:rsid w:val="00197173"/>
    <w:rsid w:val="001D0FCB"/>
    <w:rsid w:val="001F0693"/>
    <w:rsid w:val="00244174"/>
    <w:rsid w:val="002F13A0"/>
    <w:rsid w:val="0030644D"/>
    <w:rsid w:val="003B1460"/>
    <w:rsid w:val="004208BF"/>
    <w:rsid w:val="00562AAA"/>
    <w:rsid w:val="005F79D5"/>
    <w:rsid w:val="006A2BBF"/>
    <w:rsid w:val="006C7563"/>
    <w:rsid w:val="007F57E3"/>
    <w:rsid w:val="00870CAC"/>
    <w:rsid w:val="008A5413"/>
    <w:rsid w:val="008B201F"/>
    <w:rsid w:val="009347DA"/>
    <w:rsid w:val="00936451"/>
    <w:rsid w:val="00940C9F"/>
    <w:rsid w:val="00977766"/>
    <w:rsid w:val="009C0EEE"/>
    <w:rsid w:val="00A67F23"/>
    <w:rsid w:val="00D30B2F"/>
    <w:rsid w:val="00D62177"/>
    <w:rsid w:val="00E53C0A"/>
    <w:rsid w:val="00F30CC2"/>
    <w:rsid w:val="00F6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AACC-62AC-439B-A9B9-5D72351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A0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3A0"/>
    <w:rPr>
      <w:b/>
    </w:rPr>
  </w:style>
  <w:style w:type="paragraph" w:styleId="Web">
    <w:name w:val="Normal (Web)"/>
    <w:basedOn w:val="a"/>
    <w:rsid w:val="002F13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2F13A0"/>
    <w:rPr>
      <w:color w:val="0000FF"/>
      <w:u w:val="none"/>
      <w:effect w:val="none"/>
    </w:rPr>
  </w:style>
  <w:style w:type="paragraph" w:styleId="a4">
    <w:name w:val="footer"/>
    <w:basedOn w:val="a"/>
    <w:link w:val="Char"/>
    <w:uiPriority w:val="99"/>
    <w:rsid w:val="002F1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3A0"/>
    <w:rPr>
      <w:rFonts w:ascii="Calibri" w:eastAsia="Calibri" w:hAnsi="Calibri" w:cs="Calibri"/>
      <w:lang w:bidi="en-US"/>
    </w:rPr>
  </w:style>
  <w:style w:type="table" w:customStyle="1" w:styleId="2">
    <w:name w:val="Ανοιχτόχρωμη σκίαση2"/>
    <w:basedOn w:val="a1"/>
    <w:uiPriority w:val="60"/>
    <w:rsid w:val="002F13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C7563"/>
    <w:pPr>
      <w:ind w:left="720"/>
      <w:contextualSpacing/>
    </w:pPr>
  </w:style>
  <w:style w:type="table" w:styleId="a6">
    <w:name w:val="Table Grid"/>
    <w:basedOn w:val="a1"/>
    <w:uiPriority w:val="59"/>
    <w:rsid w:val="00E5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8A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A5413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university-subject-rankings/2020/law-legal-stud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modip-a</dc:creator>
  <cp:lastModifiedBy>Stella</cp:lastModifiedBy>
  <cp:revision>2</cp:revision>
  <dcterms:created xsi:type="dcterms:W3CDTF">2020-03-05T10:17:00Z</dcterms:created>
  <dcterms:modified xsi:type="dcterms:W3CDTF">2020-03-05T10:17:00Z</dcterms:modified>
</cp:coreProperties>
</file>